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B6408B" w:rsidP="0037111D">
            <w:r>
              <w:rPr>
                <w:rFonts w:ascii="Helvetica" w:hAnsi="Helvetica" w:cs="Helvetica"/>
              </w:rPr>
              <w:t>6803/2020-SŽ-SSV-Ú3/HOL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D950D8" w:rsidP="00CC1E2B">
            <w:r>
              <w:t>3</w:t>
            </w:r>
            <w:bookmarkStart w:id="0" w:name="_GoBack"/>
            <w:bookmarkEnd w:id="0"/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67226C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67226C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67226C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950D8">
              <w:rPr>
                <w:noProof/>
              </w:rPr>
              <w:t>28. července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B11F7B" w:rsidRPr="00B11F7B">
        <w:rPr>
          <w:rFonts w:eastAsia="Calibri" w:cs="Times New Roman"/>
          <w:b/>
          <w:lang w:eastAsia="cs-CZ"/>
        </w:rPr>
        <w:t>Zajištění skalních masivů na trati Potštejn-Litice nad Orlicí (Sopotnice)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11F7B">
        <w:rPr>
          <w:rFonts w:eastAsia="Calibri" w:cs="Times New Roman"/>
          <w:lang w:eastAsia="cs-CZ"/>
        </w:rPr>
        <w:t xml:space="preserve">Vysvětlení/ změna/ doplnění zadávací dokumentace </w:t>
      </w:r>
      <w:r w:rsidRPr="00CB7B5A">
        <w:rPr>
          <w:rFonts w:eastAsia="Calibri" w:cs="Times New Roman"/>
          <w:lang w:eastAsia="cs-CZ"/>
        </w:rPr>
        <w:t>č.</w:t>
      </w:r>
      <w:r w:rsidR="0067226C">
        <w:rPr>
          <w:rFonts w:eastAsia="Calibri" w:cs="Times New Roman"/>
          <w:lang w:eastAsia="cs-CZ"/>
        </w:rPr>
        <w:t xml:space="preserve"> </w:t>
      </w:r>
      <w:r w:rsidR="001F1391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67226C" w:rsidRDefault="0067226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1391" w:rsidRPr="00CB7B5A" w:rsidRDefault="001F1391" w:rsidP="001F139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1F1391" w:rsidRDefault="001F1391" w:rsidP="001F1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62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Zadávací dokumentaci, v části 4 - Soupis prací s výkazem výměr, je obsažen položkový rozpočet pod názvem Všeobecné </w:t>
      </w:r>
      <w:proofErr w:type="spellStart"/>
      <w:r w:rsidRPr="00FB6240">
        <w:rPr>
          <w:rFonts w:ascii="Times New Roman" w:eastAsia="Times New Roman" w:hAnsi="Times New Roman" w:cs="Times New Roman"/>
          <w:sz w:val="24"/>
          <w:szCs w:val="24"/>
          <w:lang w:eastAsia="cs-CZ"/>
        </w:rPr>
        <w:t>položky_Rekapitulace</w:t>
      </w:r>
      <w:proofErr w:type="spellEnd"/>
      <w:r w:rsidRPr="00FB62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ceny. Zde je pravděpodobně chybně uveden název „Stavba: Výstavba PZS v km 23,204 (P5191) trati Choceň – Litomyšl“.</w:t>
      </w:r>
    </w:p>
    <w:p w:rsidR="001F1391" w:rsidRDefault="001F1391" w:rsidP="001F1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F1391" w:rsidRDefault="001F1391" w:rsidP="001F1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Pr="00B11F7B">
        <w:rPr>
          <w:rFonts w:eastAsia="Calibri" w:cs="Times New Roman"/>
          <w:b/>
          <w:color w:val="FF4040" w:themeColor="accent6" w:themeTint="99"/>
          <w:lang w:eastAsia="cs-CZ"/>
        </w:rPr>
        <w:t xml:space="preserve"> </w:t>
      </w:r>
      <w:r w:rsidRPr="001F1391">
        <w:rPr>
          <w:rFonts w:eastAsia="Calibri" w:cs="Times New Roman"/>
          <w:lang w:eastAsia="cs-CZ"/>
        </w:rPr>
        <w:t>Nadpis tabulky je skutečně uveden chybně. Správně má být „Zajištění skalních masivů na trati Potštejn-Litice nad Orlicí (Sopotnice)“ jako je uveden v záhlaví.</w:t>
      </w:r>
    </w:p>
    <w:p w:rsidR="001F1391" w:rsidRPr="00FB6240" w:rsidRDefault="001F1391" w:rsidP="001F1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F1391" w:rsidRPr="00CB7B5A" w:rsidRDefault="001F1391" w:rsidP="001F139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B62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Dále se domníváme, že položky zde uvedené jsou zdvojené s dalším rozpočtem uvedeným pod názvem „Soupis </w:t>
      </w:r>
      <w:proofErr w:type="spellStart"/>
      <w:r w:rsidRPr="00FB6240">
        <w:rPr>
          <w:rFonts w:ascii="Times New Roman" w:eastAsia="Times New Roman" w:hAnsi="Times New Roman" w:cs="Times New Roman"/>
          <w:sz w:val="24"/>
          <w:szCs w:val="24"/>
          <w:lang w:eastAsia="cs-CZ"/>
        </w:rPr>
        <w:t>prací_VRN_TYMDI</w:t>
      </w:r>
      <w:proofErr w:type="spellEnd"/>
      <w:r w:rsidRPr="00FB6240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který je též součástí Zadávací dokumentace. Jedná se o položky: 2) Geodetická dokumentace skutečného provedení a 3) Dokumentace skutečného provedení stavby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1F1391" w:rsidRDefault="001F1391" w:rsidP="001F139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1F1391" w:rsidRPr="00670D71" w:rsidRDefault="001F1391" w:rsidP="001F1391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Pr="00B11F7B">
        <w:rPr>
          <w:rFonts w:eastAsia="Calibri" w:cs="Times New Roman"/>
          <w:b/>
          <w:color w:val="FF4040" w:themeColor="accent6" w:themeTint="99"/>
          <w:lang w:eastAsia="cs-CZ"/>
        </w:rPr>
        <w:t xml:space="preserve"> </w:t>
      </w:r>
      <w:r w:rsidRPr="001F1391">
        <w:rPr>
          <w:rFonts w:eastAsia="Calibri" w:cs="Times New Roman"/>
          <w:lang w:eastAsia="cs-CZ"/>
        </w:rPr>
        <w:t xml:space="preserve">Tyto položky jsou skutečně uvedeny duplicitně. V rozpočtu s názvem „Soupis </w:t>
      </w:r>
      <w:proofErr w:type="spellStart"/>
      <w:r w:rsidRPr="001F1391">
        <w:rPr>
          <w:rFonts w:eastAsia="Calibri" w:cs="Times New Roman"/>
          <w:lang w:eastAsia="cs-CZ"/>
        </w:rPr>
        <w:t>prací_VRN_TYMDI</w:t>
      </w:r>
      <w:proofErr w:type="spellEnd"/>
      <w:r w:rsidRPr="001F1391">
        <w:rPr>
          <w:rFonts w:eastAsia="Calibri" w:cs="Times New Roman"/>
          <w:lang w:eastAsia="cs-CZ"/>
        </w:rPr>
        <w:t xml:space="preserve">“ vyplňte u položek č. 2 a 3 množství nula s komentářem, že položky jsou </w:t>
      </w:r>
      <w:proofErr w:type="spellStart"/>
      <w:r w:rsidRPr="001F1391">
        <w:rPr>
          <w:rFonts w:eastAsia="Calibri" w:cs="Times New Roman"/>
          <w:lang w:eastAsia="cs-CZ"/>
        </w:rPr>
        <w:t>naceněné</w:t>
      </w:r>
      <w:proofErr w:type="spellEnd"/>
      <w:r w:rsidRPr="001F1391">
        <w:rPr>
          <w:rFonts w:eastAsia="Calibri" w:cs="Times New Roman"/>
          <w:lang w:eastAsia="cs-CZ"/>
        </w:rPr>
        <w:t xml:space="preserve"> ve všeobecných položkách.</w:t>
      </w:r>
    </w:p>
    <w:p w:rsidR="001F1391" w:rsidRPr="00670D71" w:rsidRDefault="001F1391" w:rsidP="001F1391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1F1391" w:rsidRPr="00CB7B5A" w:rsidRDefault="001F1391" w:rsidP="001F139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1F1391" w:rsidRDefault="001F1391" w:rsidP="001F1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62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Příloze </w:t>
      </w:r>
      <w:proofErr w:type="gramStart"/>
      <w:r w:rsidRPr="00FB6240">
        <w:rPr>
          <w:rFonts w:ascii="Times New Roman" w:eastAsia="Times New Roman" w:hAnsi="Times New Roman" w:cs="Times New Roman"/>
          <w:sz w:val="24"/>
          <w:szCs w:val="24"/>
          <w:lang w:eastAsia="cs-CZ"/>
        </w:rPr>
        <w:t>č.2 d) - Zvláštní</w:t>
      </w:r>
      <w:proofErr w:type="gramEnd"/>
      <w:r w:rsidRPr="00FB62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technické podmínky, je v článku  5.1.1 uvedena informace o nepřetržitých výlukách v období 14.-18. 9. 2020. Budou poskytnuty i další výluky nad rámec uvedených?</w:t>
      </w:r>
    </w:p>
    <w:p w:rsidR="001F1391" w:rsidRPr="00CB7B5A" w:rsidRDefault="001F1391" w:rsidP="001F139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1391" w:rsidRPr="00CB7B5A" w:rsidRDefault="001F1391" w:rsidP="001F139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Pr="001F1391">
        <w:rPr>
          <w:rFonts w:eastAsia="Calibri" w:cs="Times New Roman"/>
          <w:lang w:eastAsia="cs-CZ"/>
        </w:rPr>
        <w:t>Nad rámec uvedených není možné poskytnout další nepřetržité výluky. Do začátku stavby „Ústí n. O. – Brandýs n. O. – původní stopa, BC“, který se předpokládá v 11/2020, lze ovšem přidělit noční výluky.</w:t>
      </w:r>
    </w:p>
    <w:p w:rsidR="0067226C" w:rsidRPr="00CB7B5A" w:rsidRDefault="0067226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7226C" w:rsidRPr="00CB7B5A" w:rsidRDefault="0067226C" w:rsidP="0067226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:rsidR="0067226C" w:rsidRPr="00BC6A96" w:rsidRDefault="0067226C" w:rsidP="00672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technické </w:t>
      </w:r>
      <w:proofErr w:type="gramStart"/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t>zprávě (E.1.1</w:t>
      </w:r>
      <w:proofErr w:type="gramEnd"/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t>. TECHNICKÁ ZPRÁVA, strana 5) je specifikován následující typ ocelových sítí:</w:t>
      </w:r>
    </w:p>
    <w:p w:rsidR="0067226C" w:rsidRPr="00BC6A96" w:rsidRDefault="0067226C" w:rsidP="00672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rámci navržených opatření bude použita </w:t>
      </w:r>
      <w:proofErr w:type="spellStart"/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t>vysokopevnostní</w:t>
      </w:r>
      <w:proofErr w:type="spellEnd"/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celová síť s minimální hodnotou </w:t>
      </w:r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tahové pevnosti 110kN s antikorozní úpravou typu GALFAN (95%Zn+5%Al). Pro </w:t>
      </w:r>
      <w:proofErr w:type="spellStart"/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t>zajištěnískalních</w:t>
      </w:r>
      <w:proofErr w:type="spellEnd"/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svahů lze použít např. ocelovou síť STEELG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RID HR50 s vel.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oka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oko 8x10 cm </w:t>
      </w:r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t>a s vpleteným ocelovým lanem D=8mm.</w:t>
      </w:r>
    </w:p>
    <w:p w:rsidR="0067226C" w:rsidRDefault="0067226C" w:rsidP="00672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Typ ocelové sítě je uvedený jen jako příklad s tím, že je možno použít i materiály jiných výrobců. Žádáme tedy zadavatele o poskytnutí statického výpočtu, na základě kterého je </w:t>
      </w:r>
      <w:r w:rsidRPr="00BC6A9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možno stanovit výrobek, který by splňoval či převyšoval požadavky zadavatele na pevnostní parametry a životnost.</w:t>
      </w:r>
    </w:p>
    <w:p w:rsidR="0067226C" w:rsidRDefault="0067226C" w:rsidP="00672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Pr="00B11F7B">
        <w:rPr>
          <w:rFonts w:eastAsia="Calibri" w:cs="Times New Roman"/>
          <w:b/>
          <w:color w:val="FF4040" w:themeColor="accent6" w:themeTint="99"/>
          <w:lang w:eastAsia="cs-CZ"/>
        </w:rPr>
        <w:t xml:space="preserve"> </w:t>
      </w:r>
    </w:p>
    <w:p w:rsidR="0067226C" w:rsidRPr="0067226C" w:rsidRDefault="0067226C" w:rsidP="00672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Hlavním parametrem, pro ocelové sítě používané v rámci zajištění skalních objektů je jejich tahová pevnost udávaná v </w:t>
      </w:r>
      <w:proofErr w:type="spell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kN</w:t>
      </w:r>
      <w:proofErr w:type="spell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/m. Všichni výrobci u svých výrobků tuto hodnotu uvádějí jako charakteristickou. Tahová pevnost </w:t>
      </w:r>
      <w:proofErr w:type="gram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vychází</w:t>
      </w:r>
      <w:proofErr w:type="gram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 tahových zkoušek prováděných na vzorku ocelové sítě </w:t>
      </w:r>
      <w:proofErr w:type="gram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viz</w:t>
      </w:r>
      <w:proofErr w:type="gram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Obr níže. Pro daný projekt je nutné, aby tahová pevnost ocelové sítě dosahovala min. úrovně 110kN (to splňují výrobky např. spol. </w:t>
      </w:r>
      <w:proofErr w:type="spell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Geobrugg</w:t>
      </w:r>
      <w:proofErr w:type="spell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Tecco</w:t>
      </w:r>
      <w:proofErr w:type="spell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G65/3, dále spol. </w:t>
      </w:r>
      <w:proofErr w:type="spell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Maccaferri</w:t>
      </w:r>
      <w:proofErr w:type="spell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Steelgrid</w:t>
      </w:r>
      <w:proofErr w:type="spell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HR 50, </w:t>
      </w:r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spol. TRUMER - Omega síť 4,5/100 atd.). Není brán v potaz vel. </w:t>
      </w:r>
      <w:proofErr w:type="gram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oka</w:t>
      </w:r>
      <w:proofErr w:type="gram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síťí</w:t>
      </w:r>
      <w:proofErr w:type="spell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neboť drobný opad, ke kterému bude docházet nepředstavuje riziko pro bezpečnost provozované drážní cesty. Požadovaná hodnota tahové pevnosti sítě je tedy dostačující parametr pro stanovení výrobku. Ocelová síť </w:t>
      </w:r>
      <w:proofErr w:type="spell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Steelgrid</w:t>
      </w:r>
      <w:proofErr w:type="spell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HR 50 byla uvedena jako příklad výrobku, který daný požadavek splňuje, stejně jako ostatní výrobky, které jsou uvedeny v textu výše.</w:t>
      </w: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6C2DD8F8" wp14:editId="35E98E37">
            <wp:simplePos x="0" y="0"/>
            <wp:positionH relativeFrom="column">
              <wp:posOffset>-3810</wp:posOffset>
            </wp:positionH>
            <wp:positionV relativeFrom="paragraph">
              <wp:posOffset>60325</wp:posOffset>
            </wp:positionV>
            <wp:extent cx="2708275" cy="2026920"/>
            <wp:effectExtent l="0" t="0" r="0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8275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Default="0067226C" w:rsidP="0067226C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</w:p>
    <w:p w:rsidR="0067226C" w:rsidRPr="0067226C" w:rsidRDefault="0067226C" w:rsidP="006722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Co se týče životnosti sítě, ta je dána schopností ocelového prvku odolávat korozním účinkům. Ochrana ocelových sítí je specifikována v TZ pokovením typu GALFAN (95% </w:t>
      </w:r>
      <w:proofErr w:type="spell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Zn</w:t>
      </w:r>
      <w:proofErr w:type="spell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+ 5% Al) ve vrstvě min. 150g/m2.  Při atmosférické </w:t>
      </w:r>
      <w:proofErr w:type="spellStart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>korozivitě</w:t>
      </w:r>
      <w:proofErr w:type="spellEnd"/>
      <w:r w:rsidRPr="0067226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odpovídající stupni C2 ve smyslu normy EN ISO 12944-2 a ISO 9223 je předpokládaná životnost ocelových sítí 50-60 let.</w:t>
      </w:r>
    </w:p>
    <w:p w:rsidR="0067226C" w:rsidRDefault="0067226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8910A8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:rsidR="00BC6A96" w:rsidRDefault="008910A8" w:rsidP="00BC6A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Prosíme o vysvětlení výkazu výměr ze zadávací dokumentace sešitu excel „Všeobecné položky_Rekapitulace ceny“ – viz. příloha</w:t>
      </w:r>
    </w:p>
    <w:p w:rsidR="008910A8" w:rsidRDefault="008910A8" w:rsidP="00BC6A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8910A8" w:rsidRDefault="008910A8" w:rsidP="00BC6A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Ve výkazu výměr jsou v uvedeném sešitu dvě záložky k ocenění.</w:t>
      </w:r>
    </w:p>
    <w:p w:rsidR="008910A8" w:rsidRDefault="008910A8" w:rsidP="00BC6A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8910A8" w:rsidRDefault="008910A8" w:rsidP="00BC6A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V první záložce v sešitu excelu Všeobecné položky je uvedena stavba „</w:t>
      </w:r>
      <w:r w:rsidRPr="008910A8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>Výstavba PZS v km 23,204 (P5191) trati Choceň – Litomyšl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“: tento výkaz výměr má zhotovitel také ocenit? </w:t>
      </w:r>
    </w:p>
    <w:p w:rsidR="008910A8" w:rsidRDefault="008910A8" w:rsidP="00BC6A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8910A8" w:rsidRDefault="008910A8" w:rsidP="00BC6A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 wp14:anchorId="3A7A0C2C" wp14:editId="4B7B774B">
            <wp:extent cx="4848063" cy="200025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48063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0A8" w:rsidRDefault="008910A8" w:rsidP="00BC6A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226C" w:rsidRDefault="00FB6240" w:rsidP="00FB6240">
      <w:pPr>
        <w:spacing w:after="0" w:line="240" w:lineRule="auto"/>
        <w:jc w:val="both"/>
        <w:rPr>
          <w:rFonts w:eastAsia="Calibri" w:cs="Times New Roman"/>
          <w:b/>
          <w:color w:val="FF4040" w:themeColor="accent6" w:themeTint="99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Pr="00B11F7B">
        <w:rPr>
          <w:rFonts w:eastAsia="Calibri" w:cs="Times New Roman"/>
          <w:b/>
          <w:color w:val="FF4040" w:themeColor="accent6" w:themeTint="99"/>
          <w:lang w:eastAsia="cs-CZ"/>
        </w:rPr>
        <w:t xml:space="preserve"> </w:t>
      </w:r>
    </w:p>
    <w:p w:rsidR="00FB6240" w:rsidRDefault="001F1391" w:rsidP="00FB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Viz.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dotaz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č. 1.</w:t>
      </w:r>
    </w:p>
    <w:p w:rsidR="001F1391" w:rsidRDefault="001F1391" w:rsidP="00FB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F1391" w:rsidRPr="00FB6240" w:rsidRDefault="001F1391" w:rsidP="00FB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F1391" w:rsidRDefault="0067226C" w:rsidP="0067226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  <w:r w:rsidR="001F1391">
        <w:rPr>
          <w:rFonts w:eastAsia="Times New Roman" w:cs="Times New Roman"/>
          <w:lang w:eastAsia="cs-CZ"/>
        </w:rPr>
        <w:t xml:space="preserve"> </w:t>
      </w:r>
    </w:p>
    <w:p w:rsidR="001F1391" w:rsidRDefault="001F1391" w:rsidP="0067226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67226C" w:rsidRDefault="001F1391" w:rsidP="0067226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 důvodu prodlení s odpovědí však zadavatel prodlužuje lhůtu pro podání nabídek o jeden pracovní den tedy z</w:t>
      </w:r>
      <w:r w:rsidRPr="001F1391">
        <w:rPr>
          <w:rFonts w:eastAsia="Times New Roman" w:cs="Times New Roman"/>
          <w:b/>
          <w:lang w:eastAsia="cs-CZ"/>
        </w:rPr>
        <w:t>e dne 30. 7. 2020 v 9:00 na den 31. 7. 2020 v 09:00</w:t>
      </w:r>
      <w:r>
        <w:rPr>
          <w:rFonts w:eastAsia="Times New Roman" w:cs="Times New Roman"/>
          <w:lang w:eastAsia="cs-CZ"/>
        </w:rPr>
        <w:t>.</w:t>
      </w:r>
    </w:p>
    <w:p w:rsidR="001F1391" w:rsidRDefault="001F1391" w:rsidP="0067226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F1391" w:rsidRPr="001F1391" w:rsidRDefault="001F1391" w:rsidP="001F1391">
      <w:pPr>
        <w:spacing w:after="160" w:line="259" w:lineRule="auto"/>
        <w:rPr>
          <w:rFonts w:eastAsia="Calibri" w:cs="Times New Roman"/>
          <w:u w:val="single"/>
        </w:rPr>
      </w:pPr>
      <w:r w:rsidRPr="001F1391">
        <w:rPr>
          <w:rFonts w:eastAsia="Calibri" w:cs="Times New Roman"/>
          <w:u w:val="single"/>
        </w:rPr>
        <w:t>V souvislosti s touto změnou lhůty pro podání nabídek se mění rovněž:</w:t>
      </w:r>
    </w:p>
    <w:p w:rsidR="001F1391" w:rsidRPr="001F1391" w:rsidRDefault="001F1391" w:rsidP="001F1391">
      <w:pPr>
        <w:spacing w:after="160" w:line="259" w:lineRule="auto"/>
        <w:rPr>
          <w:rFonts w:eastAsia="Calibri" w:cs="Times New Roman"/>
        </w:rPr>
      </w:pPr>
      <w:r w:rsidRPr="001F1391">
        <w:rPr>
          <w:rFonts w:eastAsia="Calibri" w:cs="Times New Roman"/>
        </w:rPr>
        <w:t>čl. 12.1 odst. 2 Výzvy k podání nabídky takto:</w:t>
      </w:r>
    </w:p>
    <w:p w:rsidR="001F1391" w:rsidRPr="001F1391" w:rsidRDefault="001F1391" w:rsidP="001F1391">
      <w:pPr>
        <w:spacing w:after="200" w:line="276" w:lineRule="auto"/>
        <w:jc w:val="both"/>
        <w:rPr>
          <w:rFonts w:eastAsia="Calibri" w:cs="Times New Roman"/>
        </w:rPr>
      </w:pPr>
      <w:r w:rsidRPr="001F1391">
        <w:rPr>
          <w:rFonts w:eastAsia="Calibri" w:cs="Times New Roman"/>
        </w:rPr>
        <w:t xml:space="preserve">„Nabídky musí být zadavateli doručeny nejpozději do </w:t>
      </w:r>
      <w:r w:rsidRPr="001F1391">
        <w:rPr>
          <w:rFonts w:eastAsia="Calibri" w:cs="Times New Roman"/>
          <w:b/>
          <w:i/>
        </w:rPr>
        <w:t>31. 7. 2020 do 09:00 hodin</w:t>
      </w:r>
      <w:r w:rsidRPr="001F1391">
        <w:rPr>
          <w:rFonts w:eastAsia="Calibri" w:cs="Times New Roman"/>
        </w:rPr>
        <w:t xml:space="preserve">“ </w:t>
      </w:r>
    </w:p>
    <w:p w:rsidR="001F1391" w:rsidRPr="00396E8C" w:rsidRDefault="001F1391" w:rsidP="0067226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67226C" w:rsidRPr="00CB7B5A" w:rsidRDefault="0067226C" w:rsidP="0067226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226C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4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67226C" w:rsidRPr="00CB7B5A" w:rsidRDefault="0067226C" w:rsidP="0067226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67226C" w:rsidRPr="00CB7B5A" w:rsidRDefault="0067226C" w:rsidP="0067226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7226C" w:rsidRPr="00CB7B5A" w:rsidRDefault="0067226C" w:rsidP="0067226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7226C" w:rsidRPr="00CB7B5A" w:rsidRDefault="0067226C" w:rsidP="0067226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67226C" w:rsidRPr="00CB7B5A" w:rsidRDefault="0067226C" w:rsidP="0067226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7226C" w:rsidRDefault="0067226C" w:rsidP="0067226C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F1391" w:rsidRDefault="001F1391" w:rsidP="0067226C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F1391" w:rsidRDefault="001F1391" w:rsidP="0067226C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F1391" w:rsidRDefault="001F1391" w:rsidP="0067226C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F1391" w:rsidRPr="00CB7B5A" w:rsidRDefault="001F1391" w:rsidP="0067226C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67226C" w:rsidRPr="00CB7B5A" w:rsidRDefault="0067226C" w:rsidP="0067226C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67226C" w:rsidRPr="00CB7B5A" w:rsidRDefault="0067226C" w:rsidP="0067226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67226C" w:rsidRPr="00CB7B5A" w:rsidRDefault="0067226C" w:rsidP="0067226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67226C" w:rsidRPr="00CB7B5A" w:rsidRDefault="0067226C" w:rsidP="0067226C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67226C" w:rsidRPr="00CB7B5A" w:rsidRDefault="0067226C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sectPr w:rsidR="0067226C" w:rsidRPr="00CB7B5A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4BE" w:rsidRDefault="007D04BE" w:rsidP="00962258">
      <w:pPr>
        <w:spacing w:after="0" w:line="240" w:lineRule="auto"/>
      </w:pPr>
      <w:r>
        <w:separator/>
      </w:r>
    </w:p>
  </w:endnote>
  <w:endnote w:type="continuationSeparator" w:id="0">
    <w:p w:rsidR="007D04BE" w:rsidRDefault="007D04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50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50D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03A4AA" wp14:editId="4DD0F0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AD7A9B" wp14:editId="114565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50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50D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F62287C" wp14:editId="43B7D1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DE714ED" wp14:editId="251AC0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4BE" w:rsidRDefault="007D04BE" w:rsidP="00962258">
      <w:pPr>
        <w:spacing w:after="0" w:line="240" w:lineRule="auto"/>
      </w:pPr>
      <w:r>
        <w:separator/>
      </w:r>
    </w:p>
  </w:footnote>
  <w:footnote w:type="continuationSeparator" w:id="0">
    <w:p w:rsidR="007D04BE" w:rsidRDefault="007D04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DCD3C19" wp14:editId="25876A9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711F994" wp14:editId="67A075DC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1D6639F" wp14:editId="68B8976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abstractNum w:abstractNumId="6">
    <w:nsid w:val="7EDA5015"/>
    <w:multiLevelType w:val="hybridMultilevel"/>
    <w:tmpl w:val="7DA821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17D6"/>
    <w:rsid w:val="001B69C2"/>
    <w:rsid w:val="001C4DA0"/>
    <w:rsid w:val="001F1391"/>
    <w:rsid w:val="00207DF5"/>
    <w:rsid w:val="00267369"/>
    <w:rsid w:val="0026785D"/>
    <w:rsid w:val="002C31BF"/>
    <w:rsid w:val="002C5BF2"/>
    <w:rsid w:val="002E0CD7"/>
    <w:rsid w:val="002F026B"/>
    <w:rsid w:val="00357BC6"/>
    <w:rsid w:val="0037111D"/>
    <w:rsid w:val="003956C6"/>
    <w:rsid w:val="003A347D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7226C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04BE"/>
    <w:rsid w:val="007D330E"/>
    <w:rsid w:val="007E4A6E"/>
    <w:rsid w:val="007F56A7"/>
    <w:rsid w:val="00807DD0"/>
    <w:rsid w:val="00813F11"/>
    <w:rsid w:val="008910A8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1F7B"/>
    <w:rsid w:val="00B15B5E"/>
    <w:rsid w:val="00B15D0D"/>
    <w:rsid w:val="00B23CA3"/>
    <w:rsid w:val="00B3491A"/>
    <w:rsid w:val="00B45E9E"/>
    <w:rsid w:val="00B55F9C"/>
    <w:rsid w:val="00B6408B"/>
    <w:rsid w:val="00B75EE1"/>
    <w:rsid w:val="00B77481"/>
    <w:rsid w:val="00B8518B"/>
    <w:rsid w:val="00BB3740"/>
    <w:rsid w:val="00BC6A96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950D8"/>
    <w:rsid w:val="00DA6FFE"/>
    <w:rsid w:val="00DC3110"/>
    <w:rsid w:val="00DD46F3"/>
    <w:rsid w:val="00DD58A6"/>
    <w:rsid w:val="00DD7105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6240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2EB52F-D9D0-4F13-9D14-3F5969DB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3</Pages>
  <Words>735</Words>
  <Characters>4343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2020-07-28T12:34:00Z</cp:lastPrinted>
  <dcterms:created xsi:type="dcterms:W3CDTF">2020-07-28T12:29:00Z</dcterms:created>
  <dcterms:modified xsi:type="dcterms:W3CDTF">2020-07-28T12:37:00Z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